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C0" w:rsidRPr="007225B5" w:rsidRDefault="005765D0" w:rsidP="00BF5BC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B Nazanin"/>
          <w:b/>
          <w:bCs/>
          <w:sz w:val="36"/>
          <w:szCs w:val="36"/>
          <w:rtl/>
          <w:lang w:bidi="fa-IR"/>
        </w:rPr>
      </w:pPr>
      <w:r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 xml:space="preserve"> جلسات </w:t>
      </w:r>
      <w:r w:rsidR="00BF5BC0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 xml:space="preserve"> آموزشی</w:t>
      </w:r>
      <w:r w:rsidR="00BF5BC0">
        <w:rPr>
          <w:rFonts w:ascii="Tahoma" w:hAnsi="Tahoma" w:cs="B Nazanin"/>
          <w:b/>
          <w:bCs/>
          <w:sz w:val="32"/>
          <w:szCs w:val="32"/>
          <w:lang w:bidi="fa-IR"/>
        </w:rPr>
        <w:t xml:space="preserve"> </w:t>
      </w:r>
      <w:r w:rsidR="00BF5BC0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 xml:space="preserve"> کارورزان</w:t>
      </w:r>
    </w:p>
    <w:p w:rsidR="00BF5BC0" w:rsidRDefault="00BF5BC0" w:rsidP="00BF5BC0">
      <w:pPr>
        <w:jc w:val="both"/>
        <w:rPr>
          <w:rFonts w:cs="B Nazanin"/>
          <w:sz w:val="16"/>
          <w:rtl/>
        </w:rPr>
      </w:pPr>
    </w:p>
    <w:tbl>
      <w:tblPr>
        <w:bidiVisual/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6787"/>
        <w:gridCol w:w="1986"/>
      </w:tblGrid>
      <w:tr w:rsidR="00BF5BC0" w:rsidRPr="00E46BEB" w:rsidTr="000F0654">
        <w:trPr>
          <w:trHeight w:val="405"/>
          <w:jc w:val="center"/>
        </w:trPr>
        <w:tc>
          <w:tcPr>
            <w:tcW w:w="7737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BF5BC0" w:rsidRPr="00BA0588" w:rsidRDefault="00BF5BC0" w:rsidP="0059762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A0588">
              <w:rPr>
                <w:rFonts w:cs="B Nazanin" w:hint="cs"/>
                <w:b/>
                <w:bCs/>
                <w:rtl/>
                <w:lang w:bidi="fa-IR"/>
              </w:rPr>
              <w:t>مــــــــوضوع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F5BC0" w:rsidRPr="00BA0588" w:rsidRDefault="00BF5BC0" w:rsidP="0059762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BF5BC0" w:rsidRPr="00E46BEB" w:rsidTr="005765D0">
        <w:trPr>
          <w:trHeight w:val="266"/>
          <w:jc w:val="center"/>
        </w:trPr>
        <w:tc>
          <w:tcPr>
            <w:tcW w:w="950" w:type="dxa"/>
            <w:tcBorders>
              <w:top w:val="single" w:sz="18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87" w:type="dxa"/>
            <w:tcBorders>
              <w:top w:val="single" w:sz="18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معرفی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ضوابط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 دوره و توجیه برنامه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آموزشی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 کارورزی پزشکی اجتماعی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باقرپور</w:t>
            </w:r>
          </w:p>
        </w:tc>
      </w:tr>
      <w:tr w:rsidR="00BF5BC0" w:rsidRPr="00E46BEB" w:rsidTr="005765D0">
        <w:trPr>
          <w:trHeight w:val="172"/>
          <w:jc w:val="center"/>
        </w:trPr>
        <w:tc>
          <w:tcPr>
            <w:tcW w:w="950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87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آموزش سلامت، تدوین برنامه آموزشی</w:t>
            </w:r>
            <w:r w:rsidR="0061343D">
              <w:rPr>
                <w:rFonts w:cs="B Nazanin" w:hint="cs"/>
                <w:b/>
                <w:bCs/>
                <w:rtl/>
                <w:lang w:bidi="fa-IR"/>
              </w:rPr>
              <w:t xml:space="preserve"> ( دو جلسه )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عرفانیان</w:t>
            </w:r>
          </w:p>
        </w:tc>
      </w:tr>
      <w:tr w:rsidR="00BF5BC0" w:rsidRPr="00E46BEB" w:rsidTr="005765D0">
        <w:trPr>
          <w:trHeight w:val="159"/>
          <w:jc w:val="center"/>
        </w:trPr>
        <w:tc>
          <w:tcPr>
            <w:tcW w:w="950" w:type="dxa"/>
            <w:tcBorders>
              <w:top w:val="single" w:sz="4" w:space="0" w:color="auto"/>
            </w:tcBorders>
          </w:tcPr>
          <w:p w:rsidR="00BF5BC0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787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عدالت در سلامت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با تاکید بر 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>عوامل اجتماعی موثر بر سلامت و نقش بیمه ها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موسوی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بزاز</w:t>
            </w:r>
          </w:p>
        </w:tc>
      </w:tr>
      <w:tr w:rsidR="00BF5BC0" w:rsidRPr="00E46BEB" w:rsidTr="005765D0">
        <w:trPr>
          <w:trHeight w:val="159"/>
          <w:jc w:val="center"/>
        </w:trPr>
        <w:tc>
          <w:tcPr>
            <w:tcW w:w="950" w:type="dxa"/>
            <w:tcBorders>
              <w:top w:val="single" w:sz="4" w:space="0" w:color="auto"/>
            </w:tcBorders>
          </w:tcPr>
          <w:p w:rsidR="00BF5BC0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6787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ارزیابی  اجراي برنامه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softHyphen/>
              <w:t>هاي سلامت کشوري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موسوی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بزاز</w:t>
            </w:r>
          </w:p>
        </w:tc>
      </w:tr>
      <w:tr w:rsidR="00BF5BC0" w:rsidRPr="00E46BEB" w:rsidTr="005765D0">
        <w:trPr>
          <w:trHeight w:val="159"/>
          <w:jc w:val="center"/>
        </w:trPr>
        <w:tc>
          <w:tcPr>
            <w:tcW w:w="950" w:type="dxa"/>
            <w:tcBorders>
              <w:top w:val="single" w:sz="4" w:space="0" w:color="auto"/>
            </w:tcBorders>
          </w:tcPr>
          <w:p w:rsidR="00BF5BC0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6787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مديريت و برنامه ریزی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جراحی</w:t>
            </w:r>
          </w:p>
        </w:tc>
      </w:tr>
      <w:tr w:rsidR="00BF5BC0" w:rsidRPr="00E46BEB" w:rsidTr="005765D0">
        <w:trPr>
          <w:trHeight w:val="159"/>
          <w:jc w:val="center"/>
        </w:trPr>
        <w:tc>
          <w:tcPr>
            <w:tcW w:w="950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787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اصول تجویز منطقی دارو، با تاکید بر شرح حال گیری و معاینه جامع و یکپارچه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جراحی</w:t>
            </w:r>
          </w:p>
        </w:tc>
      </w:tr>
      <w:tr w:rsidR="00BF5BC0" w:rsidRPr="00E46BEB" w:rsidTr="005765D0">
        <w:trPr>
          <w:trHeight w:val="70"/>
          <w:jc w:val="center"/>
        </w:trPr>
        <w:tc>
          <w:tcPr>
            <w:tcW w:w="950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6787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خطرسنجی و مدیریت مهمترین عوامل خطر سلامت و اصلاح روش زندگی 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سلطانی فر</w:t>
            </w:r>
          </w:p>
        </w:tc>
      </w:tr>
      <w:tr w:rsidR="00BF5BC0" w:rsidRPr="00E46BEB" w:rsidTr="005765D0">
        <w:trPr>
          <w:trHeight w:val="159"/>
          <w:jc w:val="center"/>
        </w:trPr>
        <w:tc>
          <w:tcPr>
            <w:tcW w:w="950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6787" w:type="dxa"/>
            <w:tcBorders>
              <w:top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بسته</w:t>
            </w:r>
            <w:r w:rsidRPr="00E8025E">
              <w:rPr>
                <w:rFonts w:cs="B Nazanin"/>
                <w:b/>
                <w:bCs/>
                <w:rtl/>
                <w:lang w:bidi="fa-IR"/>
              </w:rPr>
              <w:t xml:space="preserve"> مداخلات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8025E">
              <w:rPr>
                <w:rFonts w:cs="B Nazanin"/>
                <w:b/>
                <w:bCs/>
                <w:rtl/>
                <w:lang w:bidi="fa-IR"/>
              </w:rPr>
              <w:t>اساسی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8025E">
              <w:rPr>
                <w:rFonts w:cs="B Nazanin"/>
                <w:b/>
                <w:bCs/>
                <w:rtl/>
                <w:lang w:bidi="fa-IR"/>
              </w:rPr>
              <w:t>بیماریهای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8025E">
              <w:rPr>
                <w:rFonts w:cs="B Nazanin"/>
                <w:b/>
                <w:bCs/>
                <w:rtl/>
                <w:lang w:bidi="fa-IR"/>
              </w:rPr>
              <w:t>غیرواگیر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 ایران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>ایراپن</w:t>
            </w:r>
          </w:p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8025E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Package of Essential </w:t>
            </w:r>
            <w:proofErr w:type="spellStart"/>
            <w:r w:rsidRPr="00E8025E">
              <w:rPr>
                <w:rFonts w:cs="B Nazanin"/>
                <w:b/>
                <w:bCs/>
                <w:sz w:val="20"/>
                <w:szCs w:val="20"/>
                <w:lang w:bidi="fa-IR"/>
              </w:rPr>
              <w:t>Noncommunicable</w:t>
            </w:r>
            <w:proofErr w:type="spellEnd"/>
            <w:r w:rsidRPr="00E8025E">
              <w:rPr>
                <w:rFonts w:cs="B Nazanin"/>
                <w:b/>
                <w:bCs/>
                <w:sz w:val="20"/>
                <w:szCs w:val="20"/>
                <w:lang w:bidi="fa-IR"/>
              </w:rPr>
              <w:t> </w:t>
            </w:r>
            <w:r w:rsidRPr="00E802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8025E">
              <w:rPr>
                <w:rFonts w:cs="B Nazanin"/>
                <w:b/>
                <w:bCs/>
                <w:sz w:val="20"/>
                <w:szCs w:val="20"/>
                <w:lang w:bidi="fa-IR"/>
              </w:rPr>
              <w:t>Iran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سلطانی فر</w:t>
            </w:r>
          </w:p>
        </w:tc>
      </w:tr>
      <w:tr w:rsidR="00BF5BC0" w:rsidRPr="00E46BEB" w:rsidTr="005765D0">
        <w:trPr>
          <w:cantSplit/>
          <w:trHeight w:val="208"/>
          <w:jc w:val="center"/>
        </w:trPr>
        <w:tc>
          <w:tcPr>
            <w:tcW w:w="950" w:type="dxa"/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6787" w:type="dxa"/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نقش پزشک در نظام سلامت و وظايف پزشک خانواده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خواجه دلویی</w:t>
            </w:r>
          </w:p>
        </w:tc>
      </w:tr>
      <w:tr w:rsidR="00BF5BC0" w:rsidRPr="00E46BEB" w:rsidTr="005765D0">
        <w:trPr>
          <w:cantSplit/>
          <w:trHeight w:val="159"/>
          <w:jc w:val="center"/>
        </w:trPr>
        <w:tc>
          <w:tcPr>
            <w:tcW w:w="950" w:type="dxa"/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6787" w:type="dxa"/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/>
                <w:b/>
                <w:bCs/>
                <w:rtl/>
                <w:lang w:bidi="fa-IR"/>
              </w:rPr>
              <w:t>تع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E8025E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E8025E">
              <w:rPr>
                <w:rFonts w:cs="B Nazanin"/>
                <w:b/>
                <w:bCs/>
                <w:rtl/>
                <w:lang w:bidi="fa-IR"/>
              </w:rPr>
              <w:t xml:space="preserve"> و ثبت علل مرگ و گواه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E8025E">
              <w:rPr>
                <w:rFonts w:cs="B Nazanin"/>
                <w:b/>
                <w:bCs/>
                <w:rtl/>
                <w:lang w:bidi="fa-IR"/>
              </w:rPr>
              <w:t xml:space="preserve"> فوت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خواجه دلویی</w:t>
            </w:r>
          </w:p>
        </w:tc>
      </w:tr>
      <w:tr w:rsidR="00BF5BC0" w:rsidRPr="00E46BEB" w:rsidTr="005765D0">
        <w:trPr>
          <w:cantSplit/>
          <w:trHeight w:val="157"/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6787" w:type="dxa"/>
            <w:tcBorders>
              <w:top w:val="single" w:sz="4" w:space="0" w:color="auto"/>
              <w:bottom w:val="single" w:sz="4" w:space="0" w:color="auto"/>
            </w:tcBorders>
          </w:tcPr>
          <w:p w:rsidR="00BF5BC0" w:rsidRPr="00E8025E" w:rsidRDefault="00BF5BC0" w:rsidP="00597622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ارزیابی جامعه، تعیین نیازها و اولویت بندی مشکلات سلامت جامعه</w:t>
            </w:r>
            <w:r w:rsidRPr="00E8025E">
              <w:rPr>
                <w:rFonts w:ascii="Cambria" w:hAnsi="Cambria" w:cs="Cambria" w:hint="cs"/>
                <w:b/>
                <w:bCs/>
                <w:rtl/>
                <w:lang w:bidi="fa-IR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C0" w:rsidRPr="00E8025E" w:rsidRDefault="00BF5BC0" w:rsidP="005413C5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5413C5">
              <w:rPr>
                <w:rFonts w:cs="B Nazanin" w:hint="cs"/>
                <w:b/>
                <w:bCs/>
                <w:rtl/>
                <w:lang w:bidi="fa-IR"/>
              </w:rPr>
              <w:t>شاکری</w:t>
            </w:r>
          </w:p>
        </w:tc>
      </w:tr>
      <w:tr w:rsidR="009E030C" w:rsidRPr="00E46BEB" w:rsidTr="005765D0">
        <w:trPr>
          <w:cantSplit/>
          <w:trHeight w:val="165"/>
          <w:jc w:val="center"/>
        </w:trPr>
        <w:tc>
          <w:tcPr>
            <w:tcW w:w="950" w:type="dxa"/>
            <w:tcBorders>
              <w:bottom w:val="single" w:sz="4" w:space="0" w:color="auto"/>
            </w:tcBorders>
          </w:tcPr>
          <w:p w:rsidR="009E030C" w:rsidRPr="00E8025E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:rsidR="009E030C" w:rsidRPr="00E8025E" w:rsidRDefault="009E030C" w:rsidP="009E030C">
            <w:pPr>
              <w:bidi w:val="0"/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413C5">
              <w:rPr>
                <w:rFonts w:cs="B Nazanin" w:hint="cs"/>
                <w:b/>
                <w:bCs/>
                <w:rtl/>
                <w:lang w:bidi="fa-IR"/>
              </w:rPr>
              <w:t>مداخلات مختصر مرتبط با سلامت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</w:tcPr>
          <w:p w:rsidR="009E030C" w:rsidRPr="00E8025E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وکیلی</w:t>
            </w:r>
          </w:p>
        </w:tc>
      </w:tr>
      <w:tr w:rsidR="009E030C" w:rsidRPr="00E46BEB" w:rsidTr="00FF6EBB">
        <w:trPr>
          <w:cantSplit/>
          <w:trHeight w:val="165"/>
          <w:jc w:val="center"/>
        </w:trPr>
        <w:tc>
          <w:tcPr>
            <w:tcW w:w="950" w:type="dxa"/>
            <w:tcBorders>
              <w:bottom w:val="single" w:sz="4" w:space="0" w:color="auto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6787" w:type="dxa"/>
            <w:tcBorders>
              <w:top w:val="nil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فقر و ارتباط آن با بیماری در حیطه کاری پزشک </w:t>
            </w:r>
          </w:p>
        </w:tc>
        <w:tc>
          <w:tcPr>
            <w:tcW w:w="1986" w:type="dxa"/>
            <w:tcBorders>
              <w:top w:val="nil"/>
              <w:right w:val="single" w:sz="4" w:space="0" w:color="auto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خادم رضائیان</w:t>
            </w:r>
          </w:p>
        </w:tc>
      </w:tr>
      <w:tr w:rsidR="009E030C" w:rsidRPr="00E46BEB" w:rsidTr="000F0654">
        <w:trPr>
          <w:cantSplit/>
          <w:trHeight w:val="1358"/>
          <w:jc w:val="center"/>
        </w:trPr>
        <w:tc>
          <w:tcPr>
            <w:tcW w:w="950" w:type="dxa"/>
            <w:tcBorders>
              <w:top w:val="nil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6787" w:type="dxa"/>
            <w:tcBorders>
              <w:top w:val="nil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آشنایی با سامانه سینا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263BA6">
              <w:rPr>
                <w:rFonts w:cs="B Nazanin"/>
                <w:b/>
                <w:bCs/>
                <w:rtl/>
              </w:rPr>
              <w:t>سامانه آنلاین پرونده الکترونیک سلامت</w:t>
            </w:r>
            <w:r>
              <w:rPr>
                <w:rFonts w:cs="B Nazanin" w:hint="cs"/>
                <w:b/>
                <w:bCs/>
                <w:rtl/>
              </w:rPr>
              <w:t xml:space="preserve">) و سامانه ثبت نسخ الکترونیک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بیمه تامین اجتماعی و سلامت ایران</w:t>
            </w:r>
          </w:p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3BA6">
              <w:rPr>
                <w:rFonts w:cs="B Nazanin"/>
                <w:b/>
                <w:bCs/>
                <w:lang w:bidi="fa-IR"/>
              </w:rPr>
              <w:t>sinaehr.mums.ac.ir</w:t>
            </w:r>
          </w:p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E41CF">
              <w:rPr>
                <w:rFonts w:cs="B Nazanin"/>
                <w:b/>
                <w:bCs/>
                <w:lang w:bidi="fa-IR"/>
              </w:rPr>
              <w:t>dr-evisit.ihio.gov.ir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6321EF">
              <w:rPr>
                <w:rFonts w:cs="B Nazanin"/>
                <w:b/>
                <w:bCs/>
                <w:lang w:bidi="fa-IR"/>
              </w:rPr>
              <w:t>ep.tamin.ir</w:t>
            </w:r>
          </w:p>
        </w:tc>
        <w:tc>
          <w:tcPr>
            <w:tcW w:w="1986" w:type="dxa"/>
            <w:tcBorders>
              <w:top w:val="nil"/>
              <w:right w:val="single" w:sz="4" w:space="0" w:color="auto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فرخانی</w:t>
            </w:r>
            <w:r w:rsidRPr="00E8025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9E030C" w:rsidRPr="00E46BEB" w:rsidTr="005765D0">
        <w:trPr>
          <w:cantSplit/>
          <w:trHeight w:val="121"/>
          <w:jc w:val="center"/>
        </w:trPr>
        <w:tc>
          <w:tcPr>
            <w:tcW w:w="950" w:type="dxa"/>
            <w:tcBorders>
              <w:top w:val="nil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6787" w:type="dxa"/>
            <w:tcBorders>
              <w:top w:val="nil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گزارش آموزش در فیلد</w:t>
            </w:r>
          </w:p>
        </w:tc>
        <w:tc>
          <w:tcPr>
            <w:tcW w:w="1986" w:type="dxa"/>
            <w:tcBorders>
              <w:top w:val="nil"/>
              <w:right w:val="single" w:sz="4" w:space="0" w:color="auto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025E">
              <w:rPr>
                <w:rFonts w:cs="B Nazanin" w:hint="cs"/>
                <w:b/>
                <w:bCs/>
                <w:rtl/>
                <w:lang w:bidi="fa-IR"/>
              </w:rPr>
              <w:t>دکتر عرفانیان</w:t>
            </w:r>
          </w:p>
        </w:tc>
      </w:tr>
      <w:tr w:rsidR="009E030C" w:rsidRPr="00E46BEB" w:rsidTr="005765D0">
        <w:trPr>
          <w:cantSplit/>
          <w:trHeight w:val="121"/>
          <w:jc w:val="center"/>
        </w:trPr>
        <w:tc>
          <w:tcPr>
            <w:tcW w:w="950" w:type="dxa"/>
            <w:tcBorders>
              <w:top w:val="nil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87" w:type="dxa"/>
            <w:tcBorders>
              <w:top w:val="nil"/>
            </w:tcBorders>
          </w:tcPr>
          <w:p w:rsidR="009E030C" w:rsidRPr="00E8025E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گزارش ارزیابی جامعه و تحقیق در سیستم سلامتی   توسط کارورزان    </w:t>
            </w:r>
          </w:p>
        </w:tc>
        <w:tc>
          <w:tcPr>
            <w:tcW w:w="1986" w:type="dxa"/>
            <w:tcBorders>
              <w:top w:val="nil"/>
              <w:right w:val="single" w:sz="4" w:space="0" w:color="auto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765D0">
              <w:rPr>
                <w:rFonts w:cs="B Nazanin" w:hint="cs"/>
                <w:b/>
                <w:bCs/>
                <w:rtl/>
                <w:lang w:bidi="fa-IR"/>
              </w:rPr>
              <w:t xml:space="preserve">دکتر شاکری </w:t>
            </w:r>
          </w:p>
        </w:tc>
      </w:tr>
      <w:tr w:rsidR="009E030C" w:rsidRPr="00E46BEB" w:rsidTr="005765D0">
        <w:trPr>
          <w:cantSplit/>
          <w:trHeight w:val="121"/>
          <w:jc w:val="center"/>
        </w:trPr>
        <w:tc>
          <w:tcPr>
            <w:tcW w:w="950" w:type="dxa"/>
            <w:tcBorders>
              <w:top w:val="nil"/>
            </w:tcBorders>
          </w:tcPr>
          <w:p w:rsidR="009E030C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87" w:type="dxa"/>
            <w:tcBorders>
              <w:top w:val="nil"/>
            </w:tcBorders>
          </w:tcPr>
          <w:p w:rsidR="009E030C" w:rsidRPr="00E8025E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4637">
              <w:rPr>
                <w:rFonts w:cs="B Nazanin" w:hint="cs"/>
                <w:b/>
                <w:bCs/>
                <w:rtl/>
                <w:lang w:bidi="fa-IR"/>
              </w:rPr>
              <w:t xml:space="preserve">گزارش ارزیابی برنامه سلامت کشوری  توسط کارورزان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E46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right w:val="single" w:sz="4" w:space="0" w:color="auto"/>
            </w:tcBorders>
          </w:tcPr>
          <w:p w:rsidR="009E030C" w:rsidRPr="00E8025E" w:rsidRDefault="009E030C" w:rsidP="009E030C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65D0">
              <w:rPr>
                <w:rFonts w:cs="B Nazanin" w:hint="cs"/>
                <w:b/>
                <w:bCs/>
                <w:rtl/>
                <w:lang w:bidi="fa-IR"/>
              </w:rPr>
              <w:t xml:space="preserve">دکتر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سلطانی فر</w:t>
            </w:r>
          </w:p>
        </w:tc>
      </w:tr>
    </w:tbl>
    <w:p w:rsidR="00BF5BC0" w:rsidRDefault="00BF5BC0">
      <w:pPr>
        <w:rPr>
          <w:rtl/>
        </w:rPr>
      </w:pPr>
    </w:p>
    <w:p w:rsidR="008D09FE" w:rsidRPr="003E67F9" w:rsidRDefault="008D09FE" w:rsidP="008D09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B Nazanin"/>
          <w:b/>
          <w:bCs/>
          <w:sz w:val="32"/>
          <w:szCs w:val="32"/>
          <w:rtl/>
        </w:rPr>
      </w:pPr>
      <w:r w:rsidRPr="00177D27">
        <w:rPr>
          <w:rFonts w:ascii="Tahoma" w:hAnsi="Tahoma" w:cs="B Nazanin" w:hint="cs"/>
          <w:b/>
          <w:bCs/>
          <w:sz w:val="32"/>
          <w:szCs w:val="32"/>
          <w:rtl/>
        </w:rPr>
        <w:t>منابع مطالعاتی</w:t>
      </w:r>
    </w:p>
    <w:p w:rsidR="008D09FE" w:rsidRPr="00404BE8" w:rsidRDefault="008D09FE" w:rsidP="00A96FA3">
      <w:pPr>
        <w:pStyle w:val="ListParagraph"/>
        <w:numPr>
          <w:ilvl w:val="0"/>
          <w:numId w:val="1"/>
        </w:numPr>
        <w:spacing w:line="240" w:lineRule="auto"/>
        <w:rPr>
          <w:rFonts w:ascii="vazir" w:hAnsi="vazir" w:cs="B Nazanin"/>
          <w:b/>
          <w:bCs/>
          <w:color w:val="000000"/>
          <w:sz w:val="24"/>
          <w:szCs w:val="24"/>
          <w:rtl/>
        </w:rPr>
      </w:pPr>
      <w:r w:rsidRPr="00404BE8">
        <w:rPr>
          <w:rFonts w:ascii="Tahoma" w:hAnsi="Tahoma" w:cs="B Nazanin"/>
          <w:b/>
          <w:bCs/>
          <w:color w:val="000000"/>
          <w:sz w:val="24"/>
          <w:szCs w:val="24"/>
          <w:rtl/>
        </w:rPr>
        <w:t>مجموعه مداخلات اساسی بیماريهاي غیرواگیر در نظام مراقبت</w:t>
      </w:r>
      <w:r w:rsidRPr="00404BE8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404BE8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هاي بهداشتی اولیه ایران "ایراپن" </w:t>
      </w:r>
    </w:p>
    <w:p w:rsidR="00A96FA3" w:rsidRPr="00A96FA3" w:rsidRDefault="008D09FE" w:rsidP="00A96FA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67" w:afterAutospacing="0"/>
        <w:rPr>
          <w:rFonts w:ascii="Tahoma" w:hAnsi="Tahoma" w:cs="B Nazanin"/>
          <w:b/>
          <w:bCs/>
          <w:color w:val="000000"/>
        </w:rPr>
      </w:pPr>
      <w:r w:rsidRPr="00404BE8">
        <w:rPr>
          <w:rFonts w:cs="B Nazanin" w:hint="cs"/>
          <w:b/>
          <w:bCs/>
          <w:color w:val="000000"/>
          <w:rtl/>
        </w:rPr>
        <w:t xml:space="preserve">کتاب </w:t>
      </w:r>
      <w:r w:rsidRPr="00404BE8">
        <w:rPr>
          <w:rFonts w:cs="B Nazanin"/>
          <w:b/>
          <w:bCs/>
          <w:color w:val="000000"/>
          <w:rtl/>
        </w:rPr>
        <w:t>اصول و کلیات خدمات سلام</w:t>
      </w:r>
      <w:r w:rsidRPr="00404BE8">
        <w:rPr>
          <w:rFonts w:cs="B Nazanin" w:hint="cs"/>
          <w:b/>
          <w:bCs/>
          <w:color w:val="000000"/>
          <w:rtl/>
        </w:rPr>
        <w:t>ت</w:t>
      </w:r>
      <w:r>
        <w:rPr>
          <w:rFonts w:cs="B Nazanin" w:hint="cs"/>
          <w:b/>
          <w:bCs/>
          <w:color w:val="000000"/>
          <w:rtl/>
        </w:rPr>
        <w:t>. دکتر خواجه دلویی و همکاران.</w:t>
      </w:r>
    </w:p>
    <w:p w:rsidR="00A96FA3" w:rsidRPr="00404BE8" w:rsidRDefault="008D09FE" w:rsidP="00A96FA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67" w:afterAutospacing="0"/>
        <w:rPr>
          <w:rFonts w:ascii="Tahoma" w:hAnsi="Tahoma"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 </w:t>
      </w:r>
      <w:r w:rsidR="00A96FA3" w:rsidRPr="00404BE8">
        <w:rPr>
          <w:rFonts w:ascii="Tahoma" w:hAnsi="Tahoma" w:cs="B Nazanin" w:hint="cs"/>
          <w:b/>
          <w:bCs/>
          <w:color w:val="000000"/>
          <w:rtl/>
        </w:rPr>
        <w:t>د</w:t>
      </w:r>
      <w:r w:rsidR="00A96FA3" w:rsidRPr="00404BE8">
        <w:rPr>
          <w:rFonts w:ascii="Tahoma" w:hAnsi="Tahoma" w:cs="B Nazanin"/>
          <w:b/>
          <w:bCs/>
          <w:color w:val="000000"/>
          <w:rtl/>
        </w:rPr>
        <w:t>ستور</w:t>
      </w:r>
      <w:r w:rsidR="00A96FA3"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="00A96FA3" w:rsidRPr="00404BE8">
        <w:rPr>
          <w:rFonts w:ascii="Tahoma" w:hAnsi="Tahoma" w:cs="B Nazanin" w:hint="cs"/>
          <w:b/>
          <w:bCs/>
          <w:color w:val="000000"/>
          <w:rtl/>
        </w:rPr>
        <w:t>العمل</w:t>
      </w:r>
      <w:r w:rsidR="00A96FA3"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="00A96FA3" w:rsidRPr="00404BE8">
        <w:rPr>
          <w:rFonts w:ascii="Tahoma" w:hAnsi="Tahoma" w:cs="B Nazanin" w:hint="cs"/>
          <w:b/>
          <w:bCs/>
          <w:color w:val="000000"/>
          <w:rtl/>
        </w:rPr>
        <w:t>ها</w:t>
      </w:r>
      <w:r w:rsidR="00A96FA3"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="00A96FA3" w:rsidRPr="00404BE8">
        <w:rPr>
          <w:rFonts w:ascii="Tahoma" w:hAnsi="Tahoma" w:cs="B Nazanin" w:hint="cs"/>
          <w:b/>
          <w:bCs/>
          <w:color w:val="000000"/>
          <w:rtl/>
        </w:rPr>
        <w:t>و</w:t>
      </w:r>
      <w:r w:rsidR="00A96FA3" w:rsidRPr="00404BE8">
        <w:rPr>
          <w:rFonts w:ascii="Tahoma" w:hAnsi="Tahoma" w:cs="B Nazanin"/>
          <w:b/>
          <w:bCs/>
          <w:color w:val="000000"/>
          <w:rtl/>
        </w:rPr>
        <w:t xml:space="preserve"> </w:t>
      </w:r>
      <w:r w:rsidR="00A96FA3" w:rsidRPr="00404BE8">
        <w:rPr>
          <w:rFonts w:ascii="Tahoma" w:hAnsi="Tahoma" w:cs="B Nazanin" w:hint="cs"/>
          <w:b/>
          <w:bCs/>
          <w:color w:val="000000"/>
          <w:rtl/>
        </w:rPr>
        <w:t>کتب</w:t>
      </w:r>
      <w:r w:rsidR="00A96FA3"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="00A96FA3" w:rsidRPr="00404BE8">
        <w:rPr>
          <w:rFonts w:ascii="Tahoma" w:hAnsi="Tahoma" w:cs="B Nazanin" w:hint="cs"/>
          <w:b/>
          <w:bCs/>
          <w:color w:val="000000"/>
          <w:rtl/>
        </w:rPr>
        <w:t>راهنمای</w:t>
      </w:r>
      <w:r w:rsidR="00A96FA3"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="00A96FA3" w:rsidRPr="00404BE8">
        <w:rPr>
          <w:rFonts w:ascii="Tahoma" w:hAnsi="Tahoma" w:cs="B Nazanin" w:hint="cs"/>
          <w:b/>
          <w:bCs/>
          <w:color w:val="000000"/>
          <w:rtl/>
        </w:rPr>
        <w:t xml:space="preserve">گروه های </w:t>
      </w:r>
      <w:r w:rsidR="00A96FA3" w:rsidRPr="00404BE8">
        <w:rPr>
          <w:rFonts w:ascii="Tahoma" w:hAnsi="Tahoma" w:cs="B Nazanin"/>
          <w:b/>
          <w:bCs/>
          <w:color w:val="000000"/>
          <w:rtl/>
        </w:rPr>
        <w:t>سنی</w:t>
      </w:r>
      <w:r w:rsidR="00A96FA3"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="00A96FA3" w:rsidRPr="00404BE8">
        <w:rPr>
          <w:rFonts w:ascii="Tahoma" w:hAnsi="Tahoma" w:cs="B Nazanin" w:hint="cs"/>
          <w:b/>
          <w:bCs/>
          <w:color w:val="000000"/>
          <w:rtl/>
        </w:rPr>
        <w:t>کودکان، نوجوانان، جوانان، میانسالان و سالمندان</w:t>
      </w:r>
    </w:p>
    <w:p w:rsidR="00A96FA3" w:rsidRPr="002F0ECC" w:rsidRDefault="00A96FA3" w:rsidP="00A96FA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67" w:afterAutospacing="0"/>
        <w:rPr>
          <w:rFonts w:ascii="vazir" w:hAnsi="vazir" w:cs="B Nazanin"/>
          <w:b/>
          <w:bCs/>
          <w:color w:val="000000"/>
        </w:rPr>
      </w:pPr>
      <w:r w:rsidRPr="00404BE8">
        <w:rPr>
          <w:rFonts w:ascii="Tahoma" w:hAnsi="Tahoma" w:cs="B Nazanin" w:hint="cs"/>
          <w:b/>
          <w:bCs/>
          <w:color w:val="000000"/>
          <w:rtl/>
        </w:rPr>
        <w:t>دس</w:t>
      </w:r>
      <w:r w:rsidRPr="00404BE8">
        <w:rPr>
          <w:rFonts w:ascii="Tahoma" w:hAnsi="Tahoma" w:cs="B Nazanin"/>
          <w:b/>
          <w:bCs/>
          <w:color w:val="000000"/>
          <w:rtl/>
        </w:rPr>
        <w:t>تور</w:t>
      </w:r>
      <w:r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Pr="00404BE8">
        <w:rPr>
          <w:rFonts w:ascii="Tahoma" w:hAnsi="Tahoma" w:cs="B Nazanin" w:hint="cs"/>
          <w:b/>
          <w:bCs/>
          <w:color w:val="000000"/>
          <w:rtl/>
        </w:rPr>
        <w:t>العمل</w:t>
      </w:r>
      <w:r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Pr="00404BE8">
        <w:rPr>
          <w:rFonts w:ascii="Tahoma" w:hAnsi="Tahoma" w:cs="B Nazanin" w:hint="cs"/>
          <w:b/>
          <w:bCs/>
          <w:color w:val="000000"/>
          <w:rtl/>
        </w:rPr>
        <w:t>ها</w:t>
      </w:r>
      <w:r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Pr="00404BE8">
        <w:rPr>
          <w:rFonts w:ascii="Tahoma" w:hAnsi="Tahoma" w:cs="B Nazanin" w:hint="cs"/>
          <w:b/>
          <w:bCs/>
          <w:color w:val="000000"/>
          <w:rtl/>
        </w:rPr>
        <w:t>و</w:t>
      </w:r>
      <w:r w:rsidRPr="00404BE8">
        <w:rPr>
          <w:rFonts w:ascii="Tahoma" w:hAnsi="Tahoma" w:cs="B Nazanin"/>
          <w:b/>
          <w:bCs/>
          <w:color w:val="000000"/>
          <w:rtl/>
        </w:rPr>
        <w:t xml:space="preserve"> </w:t>
      </w:r>
      <w:r w:rsidRPr="00404BE8">
        <w:rPr>
          <w:rFonts w:ascii="Tahoma" w:hAnsi="Tahoma" w:cs="B Nazanin" w:hint="cs"/>
          <w:b/>
          <w:bCs/>
          <w:color w:val="000000"/>
          <w:rtl/>
        </w:rPr>
        <w:t>کتب</w:t>
      </w:r>
      <w:r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Pr="00404BE8">
        <w:rPr>
          <w:rFonts w:ascii="Tahoma" w:hAnsi="Tahoma" w:cs="B Nazanin" w:hint="cs"/>
          <w:b/>
          <w:bCs/>
          <w:color w:val="000000"/>
          <w:rtl/>
        </w:rPr>
        <w:t>راهنمای</w:t>
      </w:r>
      <w:r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Pr="00404BE8">
        <w:rPr>
          <w:rFonts w:ascii="Tahoma" w:hAnsi="Tahoma" w:cs="B Nazanin" w:hint="cs"/>
          <w:b/>
          <w:bCs/>
          <w:color w:val="000000"/>
          <w:rtl/>
        </w:rPr>
        <w:t xml:space="preserve"> مبارزه</w:t>
      </w:r>
      <w:r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Pr="00404BE8">
        <w:rPr>
          <w:rFonts w:ascii="Tahoma" w:hAnsi="Tahoma" w:cs="B Nazanin" w:hint="cs"/>
          <w:b/>
          <w:bCs/>
          <w:color w:val="000000"/>
          <w:rtl/>
        </w:rPr>
        <w:t>با</w:t>
      </w:r>
      <w:r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Pr="00404BE8">
        <w:rPr>
          <w:rFonts w:ascii="Tahoma" w:hAnsi="Tahoma" w:cs="B Nazanin" w:hint="cs"/>
          <w:b/>
          <w:bCs/>
          <w:color w:val="000000"/>
          <w:rtl/>
        </w:rPr>
        <w:t>بیماری</w:t>
      </w:r>
      <w:r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Pr="00404BE8">
        <w:rPr>
          <w:rFonts w:ascii="Tahoma" w:hAnsi="Tahoma" w:cs="B Nazanin" w:hint="cs"/>
          <w:b/>
          <w:bCs/>
          <w:color w:val="000000"/>
          <w:rtl/>
        </w:rPr>
        <w:t>ها</w:t>
      </w:r>
      <w:r>
        <w:rPr>
          <w:rFonts w:ascii="Tahoma" w:hAnsi="Tahoma" w:cs="B Nazanin" w:hint="cs"/>
          <w:b/>
          <w:bCs/>
          <w:color w:val="000000"/>
          <w:rtl/>
        </w:rPr>
        <w:t>ی</w:t>
      </w:r>
      <w:r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Pr="00404BE8">
        <w:rPr>
          <w:rFonts w:ascii="Tahoma" w:hAnsi="Tahoma" w:cs="B Nazanin" w:hint="cs"/>
          <w:b/>
          <w:bCs/>
          <w:color w:val="000000"/>
          <w:rtl/>
        </w:rPr>
        <w:t>واگیر</w:t>
      </w:r>
      <w:r w:rsidRPr="00404BE8">
        <w:rPr>
          <w:rFonts w:ascii="Cambria" w:hAnsi="Cambria" w:cs="Cambria" w:hint="cs"/>
          <w:b/>
          <w:bCs/>
          <w:color w:val="000000"/>
          <w:rtl/>
        </w:rPr>
        <w:t> </w:t>
      </w:r>
      <w:r w:rsidRPr="00404BE8">
        <w:rPr>
          <w:rFonts w:ascii="Tahoma" w:hAnsi="Tahoma" w:cs="B Nazanin" w:hint="cs"/>
          <w:b/>
          <w:bCs/>
          <w:color w:val="000000"/>
          <w:rtl/>
        </w:rPr>
        <w:t xml:space="preserve"> و غیر واگیر</w:t>
      </w:r>
    </w:p>
    <w:p w:rsidR="002F0ECC" w:rsidRDefault="002F0ECC" w:rsidP="002F0ECC">
      <w:pPr>
        <w:pStyle w:val="NormalWeb"/>
        <w:shd w:val="clear" w:color="auto" w:fill="FFFFFF"/>
        <w:bidi/>
        <w:spacing w:before="0" w:beforeAutospacing="0" w:after="167" w:afterAutospacing="0"/>
        <w:rPr>
          <w:rFonts w:ascii="Tahoma" w:hAnsi="Tahoma" w:cs="B Nazanin"/>
          <w:b/>
          <w:bCs/>
          <w:color w:val="000000"/>
          <w:rtl/>
        </w:rPr>
      </w:pPr>
      <w:r>
        <w:rPr>
          <w:rFonts w:ascii="Tahoma" w:hAnsi="Tahoma" w:cs="B Nazanin" w:hint="cs"/>
          <w:b/>
          <w:bCs/>
          <w:color w:val="000000"/>
          <w:rtl/>
        </w:rPr>
        <w:t>به کارگیری مداخلات مختصر در سطح 1 ارائه خدمات سلامت</w:t>
      </w:r>
    </w:p>
    <w:p w:rsidR="008D09FE" w:rsidRPr="004B1EA2" w:rsidRDefault="008D09FE" w:rsidP="00A96FA3">
      <w:pPr>
        <w:rPr>
          <w:rFonts w:cs="B Nazanin"/>
          <w:b/>
          <w:bCs/>
          <w:color w:val="000000"/>
        </w:rPr>
      </w:pPr>
      <w:bookmarkStart w:id="0" w:name="_GoBack"/>
      <w:bookmarkEnd w:id="0"/>
    </w:p>
    <w:sectPr w:rsidR="008D09FE" w:rsidRPr="004B1EA2" w:rsidSect="005765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738E6"/>
    <w:multiLevelType w:val="hybridMultilevel"/>
    <w:tmpl w:val="C784A69C"/>
    <w:lvl w:ilvl="0" w:tplc="8AB4C2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C1"/>
    <w:rsid w:val="000F0654"/>
    <w:rsid w:val="002C5BD4"/>
    <w:rsid w:val="002F0ECC"/>
    <w:rsid w:val="004B1EA2"/>
    <w:rsid w:val="005413C5"/>
    <w:rsid w:val="005765D0"/>
    <w:rsid w:val="0061343D"/>
    <w:rsid w:val="008D09FE"/>
    <w:rsid w:val="00921589"/>
    <w:rsid w:val="009C7767"/>
    <w:rsid w:val="009E030C"/>
    <w:rsid w:val="00A96FA3"/>
    <w:rsid w:val="00BF5BC0"/>
    <w:rsid w:val="00EF6DC1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1886"/>
  <w15:chartTrackingRefBased/>
  <w15:docId w15:val="{A21F0C67-D6CD-4FE6-9E49-B7C87472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E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9FE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09F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Nouri</dc:creator>
  <cp:keywords/>
  <dc:description/>
  <cp:lastModifiedBy>Maryam Nouri</cp:lastModifiedBy>
  <cp:revision>9</cp:revision>
  <dcterms:created xsi:type="dcterms:W3CDTF">2023-12-06T06:53:00Z</dcterms:created>
  <dcterms:modified xsi:type="dcterms:W3CDTF">2024-05-13T07:12:00Z</dcterms:modified>
</cp:coreProperties>
</file>